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center"/>
      </w:pPr>
      <w:r>
        <w:rPr>
          <w:rFonts w:ascii="Times New Roman" w:hAnsi="Times New Roman" w:eastAsia="黑体"/>
          <w:b/>
          <w:sz w:val="32"/>
        </w:rPr>
        <w:t>双自由度振动实验智能分析平台</w:t>
      </w:r>
    </w:p>
    <w:p>
      <w:pPr>
        <w:spacing w:after="160"/>
        <w:jc w:val="center"/>
      </w:pPr>
      <w:r>
        <w:rPr>
          <w:rFonts w:ascii="Times New Roman" w:hAnsi="Times New Roman" w:eastAsia="黑体"/>
          <w:b/>
          <w:sz w:val="32"/>
        </w:rPr>
        <w:t>——系统使用手册</w:t>
      </w:r>
    </w:p>
    <w:p>
      <w:pPr>
        <w:jc w:val="center"/>
      </w:pPr>
      <w:r>
        <w:rPr>
          <w:i/>
          <w:sz w:val="20"/>
        </w:rPr>
        <w:t>版本 1.0  |  2026 年 05 月</w:t>
      </w:r>
    </w:p>
    <w:p>
      <w:pPr>
        <w:spacing w:before="240" w:after="80"/>
      </w:pPr>
      <w:r>
        <w:rPr>
          <w:rFonts w:ascii="Times New Roman" w:hAnsi="Times New Roman" w:eastAsia="黑体"/>
          <w:b/>
          <w:sz w:val="26"/>
        </w:rPr>
        <w:t>一、平台简介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本平台是面向高校物理实验教学的智能分析系统，覆盖：</w:t>
      </w:r>
    </w:p>
    <w:p>
      <w:pPr>
        <w:pStyle w:val="ListBullet"/>
      </w:pPr>
      <w:r>
        <w:rPr>
          <w:rFonts w:ascii="宋体" w:hAnsi="宋体" w:eastAsia="宋体"/>
          <w:sz w:val="21"/>
        </w:rPr>
        <w:t>双自由度自由振动（同相/反相/拍频）实验</w:t>
      </w:r>
    </w:p>
    <w:p>
      <w:pPr>
        <w:pStyle w:val="ListBullet"/>
      </w:pPr>
      <w:r>
        <w:rPr>
          <w:rFonts w:ascii="宋体" w:hAnsi="宋体" w:eastAsia="宋体"/>
          <w:sz w:val="21"/>
        </w:rPr>
        <w:t>双自由度受迫振动（双峰共振）实验</w:t>
      </w:r>
    </w:p>
    <w:p>
      <w:pPr>
        <w:pStyle w:val="ListBullet"/>
      </w:pPr>
      <w:r>
        <w:rPr>
          <w:rFonts w:ascii="宋体" w:hAnsi="宋体" w:eastAsia="宋体"/>
          <w:sz w:val="21"/>
        </w:rPr>
        <w:t>单自由度阻尼测量（用于非线性实验前的阻尼标定）</w:t>
      </w:r>
    </w:p>
    <w:p>
      <w:pPr>
        <w:pStyle w:val="ListBullet"/>
      </w:pPr>
      <w:r>
        <w:rPr>
          <w:rFonts w:ascii="宋体" w:hAnsi="宋体" w:eastAsia="宋体"/>
          <w:sz w:val="21"/>
        </w:rPr>
        <w:t>双自由度非线性振动 + 混沌特征分析</w:t>
      </w:r>
    </w:p>
    <w:p>
      <w:pPr>
        <w:pStyle w:val="ListBullet"/>
      </w:pPr>
      <w:r>
        <w:rPr>
          <w:rFonts w:ascii="宋体" w:hAnsi="宋体" w:eastAsia="宋体"/>
          <w:sz w:val="21"/>
        </w:rPr>
        <w:t>扫频/扫幅找混沌区（含正向/反向滞后扫频）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配套功能包括：登录注册、班级管理、视频上传、AI 视频识别、智能误差诊断、自动报告生成、CSV 数据导出、学生总结上传、答疑助手、Lissajous 测验等。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访问地址：https://physics.kings-universe.com/</w:t>
      </w:r>
    </w:p>
    <w:p>
      <w:pPr>
        <w:spacing w:before="240" w:after="80"/>
      </w:pPr>
      <w:r>
        <w:rPr>
          <w:rFonts w:ascii="Times New Roman" w:hAnsi="Times New Roman" w:eastAsia="黑体"/>
          <w:b/>
          <w:sz w:val="26"/>
        </w:rPr>
        <w:t>二、学生使用流程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2.1 注册与登录</w:t>
      </w:r>
    </w:p>
    <w:p>
      <w:pPr>
        <w:pStyle w:val="ListBullet"/>
      </w:pPr>
      <w:r>
        <w:rPr>
          <w:rFonts w:ascii="宋体" w:hAnsi="宋体" w:eastAsia="宋体"/>
          <w:sz w:val="21"/>
        </w:rPr>
        <w:t>首次使用：点击登录页"注册"标签，填写用户名、密码（≥6 位）、姓名、班级、学号，提交后自动登录</w:t>
      </w:r>
    </w:p>
    <w:p>
      <w:pPr>
        <w:pStyle w:val="ListBullet"/>
      </w:pPr>
      <w:r>
        <w:rPr>
          <w:rFonts w:ascii="宋体" w:hAnsi="宋体" w:eastAsia="宋体"/>
          <w:sz w:val="21"/>
        </w:rPr>
        <w:t>后续：用户名 + 密码登录，token 在浏览器 localStorage 中保留 7 天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2.2 阅读拍摄规范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左侧 sidebar 第一项"📷 拍摄规范与操作指引"，开始做实验前**必看**。包含：机位（平行导轨俯视）、滑块标记（红+蓝不同色）、时长（≥15s 且 ≥10 振动周期）、稳定性（无晃动无遮挡）。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2.3 实验一：双自由度自由振动（拍频）</w:t>
      </w:r>
    </w:p>
    <w:p>
      <w:pPr>
        <w:pStyle w:val="ListBullet"/>
      </w:pPr>
      <w:r>
        <w:rPr>
          <w:rFonts w:ascii="宋体" w:hAnsi="宋体" w:eastAsia="宋体"/>
          <w:sz w:val="21"/>
        </w:rPr>
        <w:t>步骤 1：进入"① 预仿真校验"，输入 m、k₁、k₂、L、l 等参数，点"运行预仿真"</w:t>
      </w:r>
    </w:p>
    <w:p>
      <w:pPr>
        <w:pStyle w:val="ListBullet"/>
      </w:pPr>
      <w:r>
        <w:rPr>
          <w:rFonts w:ascii="宋体" w:hAnsi="宋体" w:eastAsia="宋体"/>
          <w:sz w:val="21"/>
        </w:rPr>
        <w:t>步骤 2：看到理论简正模频率 ω₁、ω₂ 和拍频周期是否合理，满意点"参数合理，进入实验"——参数会自动带入实验页</w:t>
      </w:r>
    </w:p>
    <w:p>
      <w:pPr>
        <w:pStyle w:val="ListBullet"/>
      </w:pPr>
      <w:r>
        <w:rPr>
          <w:rFonts w:ascii="宋体" w:hAnsi="宋体" w:eastAsia="宋体"/>
          <w:sz w:val="21"/>
        </w:rPr>
        <w:t>步骤 3：进入"② 双自由度自由振动"，选择激发模式（同相 / 反相 / 单边激发拍频），上传视频</w:t>
      </w:r>
    </w:p>
    <w:p>
      <w:pPr>
        <w:pStyle w:val="ListBullet"/>
      </w:pPr>
      <w:r>
        <w:rPr>
          <w:rFonts w:ascii="宋体" w:hAnsi="宋体" w:eastAsia="宋体"/>
          <w:sz w:val="21"/>
        </w:rPr>
        <w:t>步骤 4：等待 25-40 秒（视频识别 + 频谱分析）</w:t>
      </w:r>
    </w:p>
    <w:p>
      <w:pPr>
        <w:pStyle w:val="ListBullet"/>
      </w:pPr>
      <w:r>
        <w:rPr>
          <w:rFonts w:ascii="宋体" w:hAnsi="宋体" w:eastAsia="宋体"/>
          <w:sz w:val="21"/>
        </w:rPr>
        <w:t>步骤 5：看结果——双滑块位移曲线、拍频包络、功率谱、双峰共振</w:t>
      </w:r>
    </w:p>
    <w:p>
      <w:pPr>
        <w:pStyle w:val="ListBullet"/>
      </w:pPr>
      <w:r>
        <w:rPr>
          <w:rFonts w:ascii="宋体" w:hAnsi="宋体" w:eastAsia="宋体"/>
          <w:sz w:val="21"/>
        </w:rPr>
        <w:t>步骤 6：（可选）"手动拟合"卡片输入你认为的 A/ω/φ 拟合参数，AI 比对你的拟合与实测的 R²、RMSE</w:t>
      </w:r>
    </w:p>
    <w:p>
      <w:pPr>
        <w:pStyle w:val="ListBullet"/>
      </w:pPr>
      <w:r>
        <w:rPr>
          <w:rFonts w:ascii="宋体" w:hAnsi="宋体" w:eastAsia="宋体"/>
          <w:sz w:val="21"/>
        </w:rPr>
        <w:t>步骤 7：下载 .docx 实验报告，下载原始数据 CSV，撰写你的实验总结后上传到系统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2.4 实验二：双自由度受迫振动</w:t>
      </w:r>
    </w:p>
    <w:p>
      <w:pPr>
        <w:pStyle w:val="ListBullet"/>
      </w:pPr>
      <w:r>
        <w:rPr>
          <w:rFonts w:ascii="宋体" w:hAnsi="宋体" w:eastAsia="宋体"/>
          <w:sz w:val="21"/>
        </w:rPr>
        <w:t>步骤 1：输入物理参数（含阻尼 c、驱动力 F₀、扫频范围）</w:t>
      </w:r>
    </w:p>
    <w:p>
      <w:pPr>
        <w:pStyle w:val="ListBullet"/>
      </w:pPr>
      <w:r>
        <w:rPr>
          <w:rFonts w:ascii="宋体" w:hAnsi="宋体" w:eastAsia="宋体"/>
          <w:sz w:val="21"/>
        </w:rPr>
        <w:t>步骤 2：点"运行扫频"，系统计算理论 A(f) 双峰共振曲线 + 相位曲线 + 反共振点</w:t>
      </w:r>
    </w:p>
    <w:p>
      <w:pPr>
        <w:pStyle w:val="ListBullet"/>
      </w:pPr>
      <w:r>
        <w:rPr>
          <w:rFonts w:ascii="宋体" w:hAnsi="宋体" w:eastAsia="宋体"/>
          <w:sz w:val="21"/>
        </w:rPr>
        <w:t>步骤 3：（可选）填入"学生实测数据"表格 (f, A₁, A₂)，系统会和理论曲线对比并自动标出超过 15% 阈值的异常点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2.5 实验三：单自由度阻尼测量</w:t>
      </w:r>
    </w:p>
    <w:p>
      <w:pPr>
        <w:pStyle w:val="ListBullet"/>
      </w:pPr>
      <w:r>
        <w:rPr>
          <w:rFonts w:ascii="宋体" w:hAnsi="宋体" w:eastAsia="宋体"/>
          <w:sz w:val="21"/>
        </w:rPr>
        <w:t>步骤 1：拆下中间弹簧，只留一辆车，拉离平衡位置释放，录视频</w:t>
      </w:r>
    </w:p>
    <w:p>
      <w:pPr>
        <w:pStyle w:val="ListBullet"/>
      </w:pPr>
      <w:r>
        <w:rPr>
          <w:rFonts w:ascii="宋体" w:hAnsi="宋体" w:eastAsia="宋体"/>
          <w:sz w:val="21"/>
        </w:rPr>
        <w:t>步骤 2：上传视频，选择追踪颜色（红/蓝）</w:t>
      </w:r>
    </w:p>
    <w:p>
      <w:pPr>
        <w:pStyle w:val="ListBullet"/>
      </w:pPr>
      <w:r>
        <w:rPr>
          <w:rFonts w:ascii="宋体" w:hAnsi="宋体" w:eastAsia="宋体"/>
          <w:sz w:val="21"/>
        </w:rPr>
        <w:t>步骤 3：系统输出阻尼系数 β、阻尼频率 ω_d、对数包络拟合 R²</w:t>
      </w:r>
    </w:p>
    <w:p>
      <w:pPr>
        <w:pStyle w:val="ListBullet"/>
      </w:pPr>
      <w:r>
        <w:rPr>
          <w:rFonts w:ascii="宋体" w:hAnsi="宋体" w:eastAsia="宋体"/>
          <w:sz w:val="21"/>
        </w:rPr>
        <w:t>步骤 4：点"应用到非线性实验"，β 值自动填入实验五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2.6 实验四：双自由度非线性混沌</w:t>
      </w:r>
    </w:p>
    <w:p>
      <w:pPr>
        <w:pStyle w:val="ListBullet"/>
      </w:pPr>
      <w:r>
        <w:rPr>
          <w:rFonts w:ascii="宋体" w:hAnsi="宋体" w:eastAsia="宋体"/>
          <w:sz w:val="21"/>
        </w:rPr>
        <w:t>步骤 1：输入 α/β/γ/f₀/Ω/初值 等无量纲参数</w:t>
      </w:r>
    </w:p>
    <w:p>
      <w:pPr>
        <w:pStyle w:val="ListBullet"/>
      </w:pPr>
      <w:r>
        <w:rPr>
          <w:rFonts w:ascii="宋体" w:hAnsi="宋体" w:eastAsia="宋体"/>
          <w:sz w:val="21"/>
        </w:rPr>
        <w:t>步骤 2：点"运行仿真"，等待数秒到数十秒</w:t>
      </w:r>
    </w:p>
    <w:p>
      <w:pPr>
        <w:pStyle w:val="ListBullet"/>
      </w:pPr>
      <w:r>
        <w:rPr>
          <w:rFonts w:ascii="宋体" w:hAnsi="宋体" w:eastAsia="宋体"/>
          <w:sz w:val="21"/>
        </w:rPr>
        <w:t>步骤 3：看 4 视图（时域 / 功率谱 / 相图 / Poincaré 截面）+ 混沌综合判定 + LLM 诊断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2.7 实验五：扫频/扫幅找混沌</w:t>
      </w:r>
    </w:p>
    <w:p>
      <w:pPr>
        <w:pStyle w:val="ListBullet"/>
      </w:pPr>
      <w:r>
        <w:rPr>
          <w:rFonts w:ascii="宋体" w:hAnsi="宋体" w:eastAsia="宋体"/>
          <w:sz w:val="21"/>
        </w:rPr>
        <w:t>选择扫描变量（Ω 或 f₀）+ 扫描方向（独立 / 正向 / 反向 / 滞后）</w:t>
      </w:r>
    </w:p>
    <w:p>
      <w:pPr>
        <w:pStyle w:val="ListBullet"/>
      </w:pPr>
      <w:r>
        <w:rPr>
          <w:rFonts w:ascii="宋体" w:hAnsi="宋体" w:eastAsia="宋体"/>
          <w:sz w:val="21"/>
        </w:rPr>
        <w:t>滞后扫频是非线性专属：可观察跳跃现象（hysteresis）</w:t>
      </w:r>
    </w:p>
    <w:p>
      <w:pPr>
        <w:pStyle w:val="ListBullet"/>
      </w:pPr>
      <w:r>
        <w:rPr>
          <w:rFonts w:ascii="宋体" w:hAnsi="宋体" w:eastAsia="宋体"/>
          <w:sz w:val="21"/>
        </w:rPr>
        <w:t>结果给出混沌点占比、混沌区段、是否检出滞后跳跃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2.8 答疑助手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主菜单"💬 答疑助手"，向 LLM 提物理问题，例如"为什么反相模频率是 √3 倍？""动力吸振器原理"等。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2.9 Lissajous 测验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主菜单"🎯 模态判断测验"，系统随机生成一张 Lissajous 图，选择对应的激发模式。即时反馈对错与原理。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2.10 我的实验记录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主菜单"▤ 我的实验记录"，按时间倒序看自己所有提交。点"查看"可重新加载历史结果。</w:t>
      </w:r>
    </w:p>
    <w:p>
      <w:pPr>
        <w:spacing w:before="240" w:after="80"/>
      </w:pPr>
      <w:r>
        <w:rPr>
          <w:rFonts w:ascii="Times New Roman" w:hAnsi="Times New Roman" w:eastAsia="黑体"/>
          <w:b/>
          <w:sz w:val="26"/>
        </w:rPr>
        <w:t>三、教师使用流程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3.1 教师注册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注册时选择"角色 = 教师"，无需填班级/学号。注册后 sidebar 多出"教师专区"。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3.2 班级管理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"教师专区 → 班级管理"列出所有班级（按学生注册时填写的 class_name 聚合）。点"查看学生"列出本班学生（学号、姓名、用户名、注册时间）。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3.3 查看本班实验记录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"教师专区 → 本班实验记录"选择班级后，列出该班所有学生的所有提交：时间、学生姓名、学号、实验类型、状态。点"下载学生总结"取学生上传的 docx 总结。</w:t>
      </w:r>
    </w:p>
    <w:p>
      <w:pPr>
        <w:spacing w:before="240" w:after="80"/>
      </w:pPr>
      <w:r>
        <w:rPr>
          <w:rFonts w:ascii="Times New Roman" w:hAnsi="Times New Roman" w:eastAsia="黑体"/>
          <w:b/>
          <w:sz w:val="26"/>
        </w:rPr>
        <w:t>四、管理员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默认账号 admin / admin123（首次启动自动创建）。管理员权限与教师相同（可查所有班级）。建议生产环境立即修改默认密码。</w:t>
      </w:r>
    </w:p>
    <w:p>
      <w:pPr>
        <w:spacing w:before="240" w:after="80"/>
      </w:pPr>
      <w:r>
        <w:rPr>
          <w:rFonts w:ascii="Times New Roman" w:hAnsi="Times New Roman" w:eastAsia="黑体"/>
          <w:b/>
          <w:sz w:val="26"/>
        </w:rPr>
        <w:t>五、技术规格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color w:val="606266"/>
                <w:sz w:val="20"/>
              </w:rPr>
              <w:t>网页前端</w:t>
            </w:r>
          </w:p>
        </w:tc>
        <w:tc>
          <w:tcPr>
            <w:tcW w:type="dxa" w:w="4703"/>
          </w:tcPr>
          <w:p>
            <w:r/>
            <w:r>
              <w:rPr>
                <w:rFonts w:ascii="Times New Roman" w:hAnsi="Times New Roman" w:eastAsia="宋体"/>
                <w:b/>
                <w:sz w:val="20"/>
              </w:rPr>
              <w:t>Vue 风格单页 + Element Plus 视觉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color w:val="606266"/>
                <w:sz w:val="20"/>
              </w:rPr>
              <w:t>后端</w:t>
            </w:r>
          </w:p>
        </w:tc>
        <w:tc>
          <w:tcPr>
            <w:tcW w:type="dxa" w:w="4703"/>
          </w:tcPr>
          <w:p>
            <w:r/>
            <w:r>
              <w:rPr>
                <w:rFonts w:ascii="Times New Roman" w:hAnsi="Times New Roman" w:eastAsia="宋体"/>
                <w:b/>
                <w:sz w:val="20"/>
              </w:rPr>
              <w:t>FastAPI + Uvicorn (单 worker)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color w:val="606266"/>
                <w:sz w:val="20"/>
              </w:rPr>
              <w:t>视频识别</w:t>
            </w:r>
          </w:p>
        </w:tc>
        <w:tc>
          <w:tcPr>
            <w:tcW w:type="dxa" w:w="4703"/>
          </w:tcPr>
          <w:p>
            <w:r/>
            <w:r>
              <w:rPr>
                <w:rFonts w:ascii="Times New Roman" w:hAnsi="Times New Roman" w:eastAsia="宋体"/>
                <w:b/>
                <w:sz w:val="20"/>
              </w:rPr>
              <w:t>OpenCV 4.x + HSV 颜色分割 + Kalman 滤波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color w:val="606266"/>
                <w:sz w:val="20"/>
              </w:rPr>
              <w:t>物理仿真</w:t>
            </w:r>
          </w:p>
        </w:tc>
        <w:tc>
          <w:tcPr>
            <w:tcW w:type="dxa" w:w="4703"/>
          </w:tcPr>
          <w:p>
            <w:r/>
            <w:r>
              <w:rPr>
                <w:rFonts w:ascii="Times New Roman" w:hAnsi="Times New Roman" w:eastAsia="宋体"/>
                <w:b/>
                <w:sz w:val="20"/>
              </w:rPr>
              <w:t>SciPy ODE 求解 (RK45 / LSODA)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color w:val="606266"/>
                <w:sz w:val="20"/>
              </w:rPr>
              <w:t>AI 大模型</w:t>
            </w:r>
          </w:p>
        </w:tc>
        <w:tc>
          <w:tcPr>
            <w:tcW w:type="dxa" w:w="4703"/>
          </w:tcPr>
          <w:p>
            <w:r/>
            <w:r>
              <w:rPr>
                <w:rFonts w:ascii="Times New Roman" w:hAnsi="Times New Roman" w:eastAsia="宋体"/>
                <w:b/>
                <w:sz w:val="20"/>
              </w:rPr>
              <w:t>DeepSeek API（国内）+ 规则引擎兜底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color w:val="606266"/>
                <w:sz w:val="20"/>
              </w:rPr>
              <w:t>报告生成</w:t>
            </w:r>
          </w:p>
        </w:tc>
        <w:tc>
          <w:tcPr>
            <w:tcW w:type="dxa" w:w="4703"/>
          </w:tcPr>
          <w:p>
            <w:r/>
            <w:r>
              <w:rPr>
                <w:rFonts w:ascii="Times New Roman" w:hAnsi="Times New Roman" w:eastAsia="宋体"/>
                <w:b/>
                <w:sz w:val="20"/>
              </w:rPr>
              <w:t>python-docx + Jinja2 模板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color w:val="606266"/>
                <w:sz w:val="20"/>
              </w:rPr>
              <w:t>数据库</w:t>
            </w:r>
          </w:p>
        </w:tc>
        <w:tc>
          <w:tcPr>
            <w:tcW w:type="dxa" w:w="4703"/>
          </w:tcPr>
          <w:p>
            <w:r/>
            <w:r>
              <w:rPr>
                <w:rFonts w:ascii="Times New Roman" w:hAnsi="Times New Roman" w:eastAsia="宋体"/>
                <w:b/>
                <w:sz w:val="20"/>
              </w:rPr>
              <w:t>SQLite（用户/班级/实验记录）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color w:val="606266"/>
                <w:sz w:val="20"/>
              </w:rPr>
              <w:t>部署</w:t>
            </w:r>
          </w:p>
        </w:tc>
        <w:tc>
          <w:tcPr>
            <w:tcW w:type="dxa" w:w="4703"/>
          </w:tcPr>
          <w:p>
            <w:r/>
            <w:r>
              <w:rPr>
                <w:rFonts w:ascii="Times New Roman" w:hAnsi="Times New Roman" w:eastAsia="宋体"/>
                <w:b/>
                <w:sz w:val="20"/>
              </w:rPr>
              <w:t>Docker Compose + Apache 反代 + Let's Encrypt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Times New Roman" w:hAnsi="Times New Roman" w:eastAsia="宋体"/>
                <w:b w:val="0"/>
                <w:color w:val="606266"/>
                <w:sz w:val="20"/>
              </w:rPr>
              <w:t>登录认证</w:t>
            </w:r>
          </w:p>
        </w:tc>
        <w:tc>
          <w:tcPr>
            <w:tcW w:type="dxa" w:w="4703"/>
          </w:tcPr>
          <w:p>
            <w:r/>
            <w:r>
              <w:rPr>
                <w:rFonts w:ascii="Times New Roman" w:hAnsi="Times New Roman" w:eastAsia="宋体"/>
                <w:b/>
                <w:sz w:val="20"/>
              </w:rPr>
              <w:t>JWT，token 有效期 7 天</w:t>
            </w:r>
          </w:p>
        </w:tc>
      </w:tr>
    </w:tbl>
    <w:p>
      <w:pPr>
        <w:spacing w:before="240" w:after="80"/>
      </w:pPr>
      <w:r>
        <w:rPr>
          <w:rFonts w:ascii="Times New Roman" w:hAnsi="Times New Roman" w:eastAsia="黑体"/>
          <w:b/>
          <w:sz w:val="26"/>
        </w:rPr>
        <w:t>六、常见问题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6.1 视频上传后报"合规校验未通过"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通常原因：（1）视频时长 &lt;15s 或 &lt;10 振动周期；（2）红/蓝滑块识别率 &lt;90%（标记被遮挡或颜色不对比）；（3）相机晃动 &gt;5%。按提示重拍即可。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6.2 拍频实验频率比 ω₂/ω₁ ≠ √3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说明弹簧并非对称配置。系统会自动反推中间弹簧与外侧的比值。若设计为对称应核实弹簧参数。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6.3 阻尼实验 R² 偏低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通常说明被测系统不是真正的单自由度（如还有中间弹簧没拆，导致双自由度拍频破坏指数衰减形态），或视频时长不够覆盖完整衰减。</w:t>
      </w:r>
    </w:p>
    <w:p>
      <w:pPr>
        <w:spacing w:before="200" w:after="80"/>
      </w:pPr>
      <w:r>
        <w:rPr>
          <w:rFonts w:ascii="黑体" w:hAnsi="黑体" w:eastAsia="黑体"/>
          <w:b/>
          <w:sz w:val="24"/>
        </w:rPr>
        <w:t>6.4 非线性实验长时间未出结果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混沌仿真单次约 5-30 秒。扫频或滞后扫频更慢（点数 × 单次时间）。建议先用小点数（如 10）验证参数合理性，再加大分辨率。</w:t>
      </w:r>
    </w:p>
    <w:p>
      <w:pPr>
        <w:spacing w:before="240" w:after="80"/>
      </w:pPr>
      <w:r>
        <w:rPr>
          <w:rFonts w:ascii="Times New Roman" w:hAnsi="Times New Roman" w:eastAsia="黑体"/>
          <w:b/>
          <w:sz w:val="26"/>
        </w:rPr>
        <w:t>七、联系与支持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1"/>
        </w:rPr>
        <w:t>部署 / 维护问题请联系开发方。学术问题（实验原理、物理公式）可用平台内的"答疑助手"。</w:t>
      </w:r>
    </w:p>
    <w:sectPr w:rsidR="00FC693F" w:rsidRPr="0006063C" w:rsidSect="00034616"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